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8.png" ContentType="image/png"/>
  <Override PartName="/word/media/rId59.png" ContentType="image/png"/>
  <Override PartName="/word/media/rId42.png" ContentType="image/png"/>
  <Override PartName="/word/media/rId43.png" ContentType="image/png"/>
  <Override PartName="/word/media/rId30.png" ContentType="image/png"/>
  <Override PartName="/word/media/rId31.png" ContentType="image/png"/>
  <Override PartName="/word/media/rId57.png" ContentType="image/png"/>
  <Override PartName="/word/media/rId33.png" ContentType="image/png"/>
  <Override PartName="/word/media/rId34.png" ContentType="image/png"/>
  <Override PartName="/word/media/rId40.png" ContentType="image/png"/>
  <Override PartName="/word/media/rId41.png" ContentType="image/png"/>
  <Override PartName="/word/media/rId37.png" ContentType="image/png"/>
  <Override PartName="/word/media/rId38.png" ContentType="image/pn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45.png" ContentType="image/png"/>
  <Override PartName="/word/media/rId32.png" ContentType="image/png"/>
  <Override PartName="/word/media/rId36.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5.png" ContentType="image/png"/>
  <Override PartName="/word/media/rId44.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2021-09-27</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es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Dentro de cada manzana se escogieron hogares aleatoriamente y dentro de cada hogar fueron elegidos también de manera aleatoria personas de 18 años o más. Por lo tanto, su unidad básica de observación son personas individuales.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iCs/>
          <w:i/>
        </w:rPr>
        <w:t xml:space="preserve">Sobre medición de dimensiones y subdimensiones</w:t>
      </w:r>
    </w:p>
    <w:p>
      <w:pPr>
        <w:pStyle w:val="Textoindependiente"/>
      </w:pPr>
      <w:r>
        <w:t xml:space="preserve">Para la selección de items de la encuesta se privilegian aquellos que se repiten en las distintas versiones (olas) de la encuesta, de manera de permitir la comparación en el tiempo. Dentro de estos items repetidos existen algunos que se repiten de manera intercalada (cada dos años), que se utilizan en caso de requerir mayor información para las subdimensiones de cohesión social. Los análisis de selección de items para este capítulo se realizan con los items de la ola 2016, y en el caso de items intercalados que aparezan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subdimension: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otorga un número que va entre 0 y 1,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realizará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Como una forma de evaluar la calidad de esta propuesta, en la Figura</w:t>
      </w:r>
      <w:r>
        <w:t xml:space="preserve"> </w:t>
      </w:r>
      <w:r>
        <w:t xml:space="preserve">??</w:t>
      </w:r>
      <w:r>
        <w:t xml:space="preserve"> </w:t>
      </w:r>
      <w:r>
        <w:t xml:space="preserve">se presenta la asociación entre las distintas subdimensiones de la cohesión social.</w:t>
      </w:r>
    </w:p>
    <w:p>
      <w:pPr>
        <w:pStyle w:val="Textoindependiente"/>
      </w:pPr>
      <w:r>
        <w:t xml:space="preserve">A continuación se detallan los criterios y análisis utilizados para seleccionar el conjunto de indicadores que constituyen la propuesta de medición de la cohesión social.</w:t>
      </w:r>
    </w:p>
    <w:bookmarkStart w:id="39"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dimesión son lazos, confianza interpersonal y reconocimiento de la diversidad.</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(en la primera ola 2016) se presentan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análisis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 Estos análisis fueron realizados considerando solo a las personas que participaron en las olas mencionadas: el item</w:t>
      </w:r>
      <w:r>
        <w:t xml:space="preserve"> </w:t>
      </w:r>
      <w:r>
        <w:t xml:space="preserve">“</w:t>
      </w:r>
      <w:r>
        <w:t xml:space="preserve">Chile pierde su identidad con la llegada de inmigrantes</w:t>
      </w:r>
      <w:r>
        <w:t xml:space="preserve">”</w:t>
      </w:r>
      <w:r>
        <w:t xml:space="preserve"> </w:t>
      </w:r>
      <w:r>
        <w:t xml:space="preserve">proviene de la ola 2016 (n=1470), el item</w:t>
      </w:r>
      <w:r>
        <w:t xml:space="preserve"> </w:t>
      </w:r>
      <w:r>
        <w:t xml:space="preserve">“</w:t>
      </w:r>
      <w:r>
        <w:t xml:space="preserve">con la llegada de inmigrantes aumenta el desempleo</w:t>
      </w:r>
      <w:r>
        <w:t xml:space="preserve">”</w:t>
      </w:r>
      <w:r>
        <w:t xml:space="preserve"> </w:t>
      </w:r>
      <w:r>
        <w:t xml:space="preserve">proviene de la ola 2016 (n=1469), el item</w:t>
      </w:r>
      <w:r>
        <w:t xml:space="preserve"> </w:t>
      </w:r>
      <w:r>
        <w:t xml:space="preserve">“</w:t>
      </w:r>
      <w:r>
        <w:t xml:space="preserve">grado de acuerdo con adopción homoparental</w:t>
      </w:r>
      <w:r>
        <w:t xml:space="preserve">”</w:t>
      </w:r>
      <w:r>
        <w:t xml:space="preserve"> </w:t>
      </w:r>
      <w:r>
        <w:t xml:space="preserve">proviene de la ola 2018 (n=1470), el item</w:t>
      </w:r>
      <w:r>
        <w:t xml:space="preserve"> </w:t>
      </w:r>
      <w:r>
        <w:t xml:space="preserve">“</w:t>
      </w:r>
      <w:r>
        <w:t xml:space="preserve">grado de confianza con personas homosexuales</w:t>
      </w:r>
      <w:r>
        <w:t xml:space="preserve">”</w:t>
      </w:r>
      <w:r>
        <w:t xml:space="preserve"> </w:t>
      </w:r>
      <w:r>
        <w:t xml:space="preserve">proviene de la ola 2016 (n=1432), el item</w:t>
      </w:r>
      <w:r>
        <w:t xml:space="preserve"> </w:t>
      </w:r>
      <w:r>
        <w:t xml:space="preserve">“</w:t>
      </w:r>
      <w:r>
        <w:t xml:space="preserve">grado de confianza con personas mapuche</w:t>
      </w:r>
      <w:r>
        <w:t xml:space="preserve">”</w:t>
      </w:r>
      <w:r>
        <w:t xml:space="preserve"> </w:t>
      </w:r>
      <w:r>
        <w:t xml:space="preserve">proviene de la ola 2016 (n=1407) y el item</w:t>
      </w:r>
      <w:r>
        <w:t xml:space="preserve"> </w:t>
      </w:r>
      <w:r>
        <w:t xml:space="preserve">“</w:t>
      </w:r>
      <w:r>
        <w:t xml:space="preserve">grado de confianza con personas inmigrantes</w:t>
      </w:r>
      <w:r>
        <w:t xml:space="preserve">”</w:t>
      </w:r>
      <w:r>
        <w:t xml:space="preserve"> </w:t>
      </w:r>
      <w:r>
        <w:t xml:space="preserve">proviene de la ola 2016 (n=1389).</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t xml:space="preserve">A continuación, en la Figura</w:t>
      </w:r>
      <w:r>
        <w:t xml:space="preserve"> </w:t>
      </w:r>
      <w:r>
        <w:t xml:space="preserve">1.7</w:t>
      </w:r>
      <w:r>
        <w:t xml:space="preserve"> </w:t>
      </w:r>
      <w:r>
        <w:t xml:space="preserve">se presenta una matriz de correlaciones de los tres indicadores utilizados en la dimensión Relaciones sociales de igualdad.</w:t>
      </w:r>
    </w:p>
    <w:p>
      <w:pPr>
        <w:pStyle w:val="CaptionedFigure"/>
      </w:pPr>
      <w:r>
        <w:drawing>
          <wp:inline>
            <wp:extent cx="5600700" cy="2800350"/>
            <wp:effectExtent b="0" l="0" r="0" t="0"/>
            <wp:docPr descr="Figura 1.7: Asociación de las subdimensiones de Relaciones sociales de igualdad" title="" id="1" name="Picture"/>
            <a:graphic>
              <a:graphicData uri="http://schemas.openxmlformats.org/drawingml/2006/picture">
                <pic:pic>
                  <pic:nvPicPr>
                    <pic:cNvPr descr="output/graphs/relaciones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1.7: Asociación de las subdimensiones de Relaciones sociales de igualdad</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 Un análisis descriptivo de estos items se presenta en la Figura</w:t>
      </w:r>
      <w:r>
        <w:t xml:space="preserve"> </w:t>
      </w:r>
      <w:r>
        <w:t xml:space="preserve">1.8</w:t>
      </w:r>
      <w:r>
        <w:t xml:space="preserve"> </w:t>
      </w:r>
      <w:r>
        <w:t xml:space="preserve">y un análisis bivariado en la Figura</w:t>
      </w:r>
      <w:r>
        <w:t xml:space="preserve"> </w:t>
      </w:r>
      <w:r>
        <w:t xml:space="preserve">1.9</w:t>
      </w:r>
      <w:r>
        <w:t xml:space="preserve">. Estos análisis fueron realizados considerando solo a las personas que participaron en todas las olas mencionadas: el item</w:t>
      </w:r>
      <w:r>
        <w:t xml:space="preserve"> </w:t>
      </w:r>
      <w:r>
        <w:t xml:space="preserve">“</w:t>
      </w:r>
      <w:r>
        <w:t xml:space="preserve">Cantidad de amigos/as cercanos</w:t>
      </w:r>
      <w:r>
        <w:t xml:space="preserve">”</w:t>
      </w:r>
      <w:r>
        <w:t xml:space="preserve"> </w:t>
      </w:r>
      <w:r>
        <w:t xml:space="preserve">proviene de la ola 2017 (n=1492), el item</w:t>
      </w:r>
      <w:r>
        <w:t xml:space="preserve"> </w:t>
      </w:r>
      <w:r>
        <w:t xml:space="preserve">“</w:t>
      </w:r>
      <w:r>
        <w:t xml:space="preserve">Tamaño de la red cercana</w:t>
      </w:r>
      <w:r>
        <w:t xml:space="preserve">”</w:t>
      </w:r>
      <w:r>
        <w:t xml:space="preserve"> </w:t>
      </w:r>
      <w:r>
        <w:t xml:space="preserve">proviene de la ola 2017 (n=1492) y el item</w:t>
      </w:r>
      <w:r>
        <w:t xml:space="preserve"> </w:t>
      </w:r>
      <w:r>
        <w:t xml:space="preserve">“</w:t>
      </w:r>
      <w:r>
        <w:t xml:space="preserve">Cantidad de personas que se conocen con diferentes ocupaciones</w:t>
      </w:r>
      <w:r>
        <w:t xml:space="preserve">”</w:t>
      </w:r>
      <w:r>
        <w:t xml:space="preserve"> </w:t>
      </w:r>
      <w:r>
        <w:t xml:space="preserve">proviene de la ola 2016 (n=1492)</w:t>
      </w:r>
    </w:p>
    <w:p>
      <w:pPr>
        <w:pStyle w:val="CaptionedFigure"/>
      </w:pPr>
      <w:r>
        <w:drawing>
          <wp:inline>
            <wp:extent cx="5600700" cy="2911510"/>
            <wp:effectExtent b="0" l="0" r="0" t="0"/>
            <wp:docPr descr="Figura 1.8: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1.8: Item subdimension Lazos.</w:t>
      </w:r>
    </w:p>
    <w:p>
      <w:pPr>
        <w:pStyle w:val="Textoindependiente"/>
      </w:pPr>
      <w:r>
        <w:drawing>
          <wp:inline>
            <wp:extent cx="5600700" cy="2800350"/>
            <wp:effectExtent b="0" l="0" r="0" t="0"/>
            <wp:docPr descr="Figura 1.9: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8"/>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1.9</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considera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 que van más allá de la comunidad cercana.</w:t>
      </w:r>
    </w:p>
    <w:bookmarkEnd w:id="39"/>
    <w:bookmarkStart w:id="46"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Un análisis descriptivo de estos items se presenta en la Figura</w:t>
      </w:r>
      <w:r>
        <w:t xml:space="preserve"> </w:t>
      </w:r>
      <w:r>
        <w:t xml:space="preserve">1.10</w:t>
      </w:r>
      <w:r>
        <w:t xml:space="preserve">, que fue realizado considerando solo a las personas que participaron en las olas mencionadas: ambos items</w:t>
      </w:r>
      <w:r>
        <w:t xml:space="preserve"> </w:t>
      </w:r>
      <w:r>
        <w:t xml:space="preserve">“</w:t>
      </w:r>
      <w:r>
        <w:t xml:space="preserve">Orgullo de ser chileno</w:t>
      </w:r>
      <w:r>
        <w:t xml:space="preserve">”</w:t>
      </w:r>
      <w:r>
        <w:t xml:space="preserve"> </w:t>
      </w:r>
      <w:r>
        <w:t xml:space="preserve">(n=1486) e</w:t>
      </w:r>
      <w:r>
        <w:t xml:space="preserve"> </w:t>
      </w:r>
      <w:r>
        <w:t xml:space="preserve">“</w:t>
      </w:r>
      <w:r>
        <w:t xml:space="preserve">Identificación con Chile</w:t>
      </w:r>
      <w:r>
        <w:t xml:space="preserve">”</w:t>
      </w:r>
      <w:r>
        <w:t xml:space="preserve"> </w:t>
      </w:r>
      <w:r>
        <w:t xml:space="preserve">(n=1484) provienen de la ola 2016.</w:t>
      </w:r>
    </w:p>
    <w:p>
      <w:pPr>
        <w:pStyle w:val="Textoindependiente"/>
      </w:pPr>
      <w:r>
        <w:t xml:space="preserve">La correlación entre estos items es positiva y alta (r=0.77). Por lo tanto, en esta subdimensión se utilizará como índice un promedio simple de ambos items.</w:t>
      </w:r>
    </w:p>
    <w:p>
      <w:pPr>
        <w:pStyle w:val="CaptionedFigure"/>
      </w:pPr>
      <w:r>
        <w:drawing>
          <wp:inline>
            <wp:extent cx="5600700" cy="2911510"/>
            <wp:effectExtent b="0" l="0" r="0" t="0"/>
            <wp:docPr descr="Figura 1.10: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Identificación y orgullo con Chile.</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1.11</w:t>
      </w:r>
      <w:r>
        <w:t xml:space="preserve">. Estos análisis fueron realizados considerando solo a las personas que participaron en las olas mencionadas: ambos items</w:t>
      </w:r>
      <w:r>
        <w:t xml:space="preserve"> </w:t>
      </w:r>
      <w:r>
        <w:t xml:space="preserve">“</w:t>
      </w:r>
      <w:r>
        <w:t xml:space="preserve">En Chile las personas son recompensadas por su esfuerzo</w:t>
      </w:r>
      <w:r>
        <w:t xml:space="preserve">”</w:t>
      </w:r>
      <w:r>
        <w:t xml:space="preserve"> </w:t>
      </w:r>
      <w:r>
        <w:t xml:space="preserve">(n=1486) y</w:t>
      </w:r>
      <w:r>
        <w:t xml:space="preserve"> </w:t>
      </w:r>
      <w:r>
        <w:t xml:space="preserve">“</w:t>
      </w:r>
      <w:r>
        <w:t xml:space="preserve">En Chile las personas son recompensadas por su inteligencia</w:t>
      </w:r>
      <w:r>
        <w:t xml:space="preserve">”</w:t>
      </w:r>
      <w:r>
        <w:t xml:space="preserve"> </w:t>
      </w:r>
      <w:r>
        <w:t xml:space="preserve">(n=1483) provienen de la ola 2016.</w:t>
      </w:r>
    </w:p>
    <w:p>
      <w:pPr>
        <w:pStyle w:val="Textoindependiente"/>
      </w:pPr>
      <w:r>
        <w:t xml:space="preserve">La correlación entre estos items es positiva y alta (r=0.7). Por lo tanto, se utilizará como índice un promedio simple de ambos items en esta subdimensión.</w:t>
      </w:r>
    </w:p>
    <w:p>
      <w:pPr>
        <w:pStyle w:val="CaptionedFigure"/>
      </w:pPr>
      <w:r>
        <w:drawing>
          <wp:inline>
            <wp:extent cx="5600700" cy="2911510"/>
            <wp:effectExtent b="0" l="0" r="0" t="0"/>
            <wp:docPr descr="Figura 1.11: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Descriptivos Percepción de recompensa por esfuerzo e inteligencia.</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1.12</w:t>
      </w:r>
      <w:r>
        <w:t xml:space="preserve"> </w:t>
      </w:r>
      <w:r>
        <w:t xml:space="preserve">y un análisis bivariado en la Figura</w:t>
      </w:r>
      <w:r>
        <w:t xml:space="preserve"> </w:t>
      </w:r>
      <w:r>
        <w:t xml:space="preserve">1.13</w:t>
      </w:r>
      <w:r>
        <w:t xml:space="preserve">.</w:t>
      </w:r>
    </w:p>
    <w:p>
      <w:pPr>
        <w:pStyle w:val="CaptionedFigure"/>
      </w:pPr>
      <w:r>
        <w:drawing>
          <wp:inline>
            <wp:extent cx="5600700" cy="2911510"/>
            <wp:effectExtent b="0" l="0" r="0" t="0"/>
            <wp:docPr descr="Figura 1.12: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1.12: Confianza en instituciones.</w:t>
      </w:r>
    </w:p>
    <w:p>
      <w:pPr>
        <w:pStyle w:val="CaptionedFigure"/>
      </w:pPr>
      <w:r>
        <w:drawing>
          <wp:inline>
            <wp:extent cx="5600700" cy="2800350"/>
            <wp:effectExtent b="0" l="0" r="0" t="0"/>
            <wp:docPr descr="Figura 1.13: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1.13: Asociación indicadores Confianza institucional.</w:t>
      </w:r>
    </w:p>
    <w:p>
      <w:pPr>
        <w:pStyle w:val="Textoindependiente"/>
      </w:pPr>
      <w:r>
        <w:t xml:space="preserve">En esta oportunidad, nuevamente se utilizó un análisis factorial exploratorio con el objetivo de construir un índice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4"/>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índice de confianza institucional incluirá estos tres items.</w:t>
      </w:r>
    </w:p>
    <w:p>
      <w:pPr>
        <w:pStyle w:val="Textoindependiente"/>
      </w:pPr>
      <w:r>
        <w:t xml:space="preserve">A continuación, en la Figura</w:t>
      </w:r>
      <w:r>
        <w:t xml:space="preserve"> </w:t>
      </w:r>
      <w:r>
        <w:t xml:space="preserve">1.14</w:t>
      </w:r>
      <w:r>
        <w:t xml:space="preserve"> </w:t>
      </w:r>
      <w:r>
        <w:t xml:space="preserve">se presenta una matriz de correlaciones de los tres indicadores utilizados en la dimensión Sentido de pertenencia.</w:t>
      </w:r>
    </w:p>
    <w:p>
      <w:pPr>
        <w:pStyle w:val="CaptionedFigure"/>
      </w:pPr>
      <w:r>
        <w:drawing>
          <wp:inline>
            <wp:extent cx="5600700" cy="2800350"/>
            <wp:effectExtent b="0" l="0" r="0" t="0"/>
            <wp:docPr descr="Figura 1.14: Asociación de las subdimensiones de Sentido de pertenencia" title="" id="1" name="Picture"/>
            <a:graphic>
              <a:graphicData uri="http://schemas.openxmlformats.org/drawingml/2006/picture">
                <pic:pic>
                  <pic:nvPicPr>
                    <pic:cNvPr descr="output/graphs/pertenencia_cor.png" id="0" name="Picture"/>
                    <pic:cNvPicPr>
                      <a:picLocks noChangeArrowheads="1" noChangeAspect="1"/>
                    </pic:cNvPicPr>
                  </pic:nvPicPr>
                  <pic:blipFill>
                    <a:blip r:embed="rId4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las subdimensiones de Sentido de pertenencia</w:t>
      </w:r>
    </w:p>
    <w:bookmarkEnd w:id="46"/>
    <w:bookmarkStart w:id="56"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el indicador</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Un análisis descriptivo de estos items se presentan en la Figura</w:t>
      </w:r>
      <w:r>
        <w:t xml:space="preserve"> </w:t>
      </w:r>
      <w:r>
        <w:t xml:space="preserve">1.15</w:t>
      </w:r>
      <w:r>
        <w:t xml:space="preserve"> </w:t>
      </w:r>
      <w:r>
        <w:t xml:space="preserve">y un análisis bivariado en la Figura</w:t>
      </w:r>
      <w:r>
        <w:t xml:space="preserve"> </w:t>
      </w:r>
      <w:r>
        <w:t xml:space="preserve">1.16</w:t>
      </w:r>
      <w:r>
        <w:t xml:space="preserve">. Para estos análisis se consideran solo a las personas que participaron en las cinco olas, pero con sus respuestas de la ola 1 (2016). La tasa de respuesta considera un N de alrededor de 1480 respuestas.</w:t>
      </w:r>
    </w:p>
    <w:p>
      <w:pPr>
        <w:pStyle w:val="CaptionedFigure"/>
      </w:pPr>
      <w:r>
        <w:drawing>
          <wp:inline>
            <wp:extent cx="5600700" cy="2911510"/>
            <wp:effectExtent b="0" l="0" r="0" t="0"/>
            <wp:docPr descr="Figura 1.15: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Acciones de solidaridad.</w:t>
      </w:r>
    </w:p>
    <w:p>
      <w:pPr>
        <w:pStyle w:val="CaptionedFigure"/>
      </w:pPr>
      <w:r>
        <w:drawing>
          <wp:inline>
            <wp:extent cx="5600700" cy="2800350"/>
            <wp:effectExtent b="0" l="0" r="0" t="0"/>
            <wp:docPr descr="Figura 1.16: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segundo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índice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participación</w:t>
      </w:r>
      <w:r>
        <w:t xml:space="preserve"> </w:t>
      </w:r>
      <w:r>
        <w:t xml:space="preserve">“</w:t>
      </w:r>
      <w:r>
        <w:t xml:space="preserve">promueve la participación ciudadana en los asuntos públcios, apoyando pryectos colectivas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1.17</w:t>
      </w:r>
      <w:r>
        <w:t xml:space="preserve">, en la Figura</w:t>
      </w:r>
      <w:r>
        <w:t xml:space="preserve"> </w:t>
      </w:r>
      <w:r>
        <w:t xml:space="preserve">1.19</w:t>
      </w:r>
      <w:r>
        <w:t xml:space="preserve"> </w:t>
      </w:r>
      <w:r>
        <w:t xml:space="preserve">y en la Figura</w:t>
      </w:r>
      <w:r>
        <w:t xml:space="preserve"> </w:t>
      </w:r>
      <w:r>
        <w:t xml:space="preserve">1.21</w:t>
      </w:r>
      <w:r>
        <w:t xml:space="preserve">, mientras que un análisis bivariado en la Figura</w:t>
      </w:r>
      <w:r>
        <w:t xml:space="preserve"> </w:t>
      </w:r>
      <w:r>
        <w:t xml:space="preserve">1.18</w:t>
      </w:r>
      <w:r>
        <w:t xml:space="preserve"> </w:t>
      </w:r>
      <w:r>
        <w:t xml:space="preserve">y en la Figura</w:t>
      </w:r>
      <w:r>
        <w:t xml:space="preserve"> </w:t>
      </w:r>
      <w:r>
        <w:t xml:space="preserve">1.20</w:t>
      </w:r>
      <w:r>
        <w:t xml:space="preserve">. La tasa de respuesta considera un N de alrededor de 1490 respuestas.</w:t>
      </w:r>
    </w:p>
    <w:p>
      <w:pPr>
        <w:pStyle w:val="CaptionedFigure"/>
      </w:pPr>
      <w:r>
        <w:drawing>
          <wp:inline>
            <wp:extent cx="5600700" cy="2911510"/>
            <wp:effectExtent b="0" l="0" r="0" t="0"/>
            <wp:docPr descr="Figura 1.17: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actividades cívicas.</w:t>
      </w:r>
    </w:p>
    <w:p>
      <w:pPr>
        <w:pStyle w:val="CaptionedFigure"/>
      </w:pPr>
      <w:r>
        <w:drawing>
          <wp:inline>
            <wp:extent cx="5600700" cy="2800350"/>
            <wp:effectExtent b="0" l="0" r="0" t="0"/>
            <wp:docPr descr="Figura 1.18: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9: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organizaciones sociales.</w:t>
      </w:r>
    </w:p>
    <w:p>
      <w:pPr>
        <w:pStyle w:val="CaptionedFigure"/>
      </w:pPr>
      <w:r>
        <w:drawing>
          <wp:inline>
            <wp:extent cx="5600700" cy="2800350"/>
            <wp:effectExtent b="0" l="0" r="0" t="0"/>
            <wp:docPr descr="Figura 1.20: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1.20: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21: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que posee un indicador de respeto por las instituciones inexistente en el ELSOC, no será considerada. Así, la correlación entre los dos indicadores propuestos para esta dimensión -solidaridad y participación cívica- poseen una correlación de 0.32.</w:t>
      </w:r>
    </w:p>
    <w:bookmarkEnd w:id="56"/>
    <w:bookmarkStart w:id="65"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1.22</w:t>
      </w:r>
      <w:r>
        <w:t xml:space="preserve">.</w:t>
      </w:r>
    </w:p>
    <w:p>
      <w:pPr>
        <w:pStyle w:val="CaptionedFigure"/>
      </w:pPr>
      <w:r>
        <w:drawing>
          <wp:inline>
            <wp:extent cx="5600700" cy="2911510"/>
            <wp:effectExtent b="0" l="0" r="0" t="0"/>
            <wp:docPr descr="Figura 1.22: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1.22: Confianza en vecinos.</w:t>
      </w:r>
    </w:p>
    <w:p>
      <w:pPr>
        <w:pStyle w:val="Textoindependiente"/>
      </w:pPr>
      <w:r>
        <w:rPr>
          <w:bCs/>
          <w:b/>
        </w:rPr>
        <w:t xml:space="preserve">Cohesión barrial</w:t>
      </w:r>
    </w:p>
    <w:p>
      <w:pPr>
        <w:pStyle w:val="Textoindependiente"/>
      </w:pPr>
      <w:r>
        <w:t xml:space="preserve">Otros items territoriales presentes en ELSOC están asociados con la subdimensión de cohesión barrial. 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Cohesión en el barrio.</w:t>
      </w:r>
    </w:p>
    <w:p>
      <w:pPr>
        <w:pStyle w:val="CaptionedFigure"/>
      </w:pPr>
      <w:r>
        <w:drawing>
          <wp:inline>
            <wp:extent cx="5600700" cy="2800350"/>
            <wp:effectExtent b="0" l="0" r="0" t="0"/>
            <wp:docPr descr="Figura 1.24: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Resultados descriptivos de estos cuatro items se presenta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Sociabilidad barrial.</w:t>
      </w:r>
    </w:p>
    <w:p>
      <w:pPr>
        <w:pStyle w:val="CaptionedFigure"/>
      </w:pPr>
      <w:r>
        <w:drawing>
          <wp:inline>
            <wp:extent cx="5600700" cy="2800350"/>
            <wp:effectExtent b="0" l="0" r="0" t="0"/>
            <wp:docPr descr="Figura 1.26: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1.27</w:t>
      </w:r>
      <w:r>
        <w:t xml:space="preserve"> </w:t>
      </w:r>
      <w:r>
        <w:t xml:space="preserve">y un análisis bivariado en la Figura</w:t>
      </w:r>
      <w:r>
        <w:t xml:space="preserve"> </w:t>
      </w:r>
      <w:r>
        <w:t xml:space="preserve">1.28</w:t>
      </w:r>
      <w:r>
        <w:t xml:space="preserve">.</w:t>
      </w:r>
    </w:p>
    <w:p>
      <w:pPr>
        <w:pStyle w:val="CaptionedFigure"/>
      </w:pPr>
      <w:r>
        <w:drawing>
          <wp:inline>
            <wp:extent cx="5600700" cy="2911510"/>
            <wp:effectExtent b="0" l="0" r="0" t="0"/>
            <wp:docPr descr="Figura 1.27: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1.27: Satisfacción con el barrio.</w:t>
      </w:r>
    </w:p>
    <w:p>
      <w:pPr>
        <w:pStyle w:val="CaptionedFigure"/>
      </w:pPr>
      <w:r>
        <w:drawing>
          <wp:inline>
            <wp:extent cx="5600700" cy="2800350"/>
            <wp:effectExtent b="0" l="0" r="0" t="0"/>
            <wp:docPr descr="Figura 1.28: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1.28: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5"/>
    <w:bookmarkEnd w:id="66"/>
    <w:bookmarkStart w:id="88" w:name="capítulo-ii"/>
    <w:p>
      <w:pPr>
        <w:pStyle w:val="Ttulo1"/>
      </w:pPr>
      <w:r>
        <w:rPr>
          <w:rStyle w:val="SectionNumber"/>
        </w:rPr>
        <w:t xml:space="preserve">2</w:t>
      </w:r>
      <w:r>
        <w:tab/>
      </w:r>
      <w:r>
        <w:t xml:space="preserve">Capítulo II —</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las variables detalladas en el capítulo anterior.</w:t>
      </w:r>
    </w:p>
    <w:p>
      <w:pPr>
        <w:pStyle w:val="Textoindependiente"/>
      </w:pPr>
      <w: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ilvl w:val="0"/>
          <w:numId w:val="1007"/>
        </w:numPr>
        <w:pStyle w:val="Compact"/>
      </w:pPr>
      <w:r>
        <w:t xml:space="preserve">Dimensión relaciones sociales de igualdad:</w:t>
      </w:r>
    </w:p>
    <w:p>
      <w:pPr>
        <w:numPr>
          <w:ilvl w:val="1"/>
          <w:numId w:val="1008"/>
        </w:numPr>
        <w:pStyle w:val="Compact"/>
      </w:pPr>
      <w:r>
        <w:t xml:space="preserve">confianza interpersonal</w:t>
      </w:r>
    </w:p>
    <w:p>
      <w:pPr>
        <w:numPr>
          <w:ilvl w:val="1"/>
          <w:numId w:val="1008"/>
        </w:numPr>
        <w:pStyle w:val="Compact"/>
      </w:pPr>
      <w:r>
        <w:t xml:space="preserve">reconocimiento y respecto de la diversidad</w:t>
      </w:r>
    </w:p>
    <w:p>
      <w:pPr>
        <w:numPr>
          <w:ilvl w:val="1"/>
          <w:numId w:val="1008"/>
        </w:numPr>
        <w:pStyle w:val="Compact"/>
      </w:pPr>
      <w:r>
        <w:t xml:space="preserve">lazos</w:t>
      </w:r>
    </w:p>
    <w:p>
      <w:pPr>
        <w:numPr>
          <w:ilvl w:val="0"/>
          <w:numId w:val="1007"/>
        </w:numPr>
        <w:pStyle w:val="Compact"/>
      </w:pPr>
      <w:r>
        <w:t xml:space="preserve">Dimensión sentido de pertenencia:</w:t>
      </w:r>
    </w:p>
    <w:p>
      <w:pPr>
        <w:numPr>
          <w:ilvl w:val="1"/>
          <w:numId w:val="1009"/>
        </w:numPr>
        <w:pStyle w:val="Compact"/>
      </w:pPr>
      <w:r>
        <w:t xml:space="preserve">identificación con el país</w:t>
      </w:r>
    </w:p>
    <w:p>
      <w:pPr>
        <w:numPr>
          <w:ilvl w:val="1"/>
          <w:numId w:val="1009"/>
        </w:numPr>
        <w:pStyle w:val="Compact"/>
      </w:pPr>
      <w:r>
        <w:t xml:space="preserve">percepción de justicia</w:t>
      </w:r>
    </w:p>
    <w:p>
      <w:pPr>
        <w:numPr>
          <w:ilvl w:val="1"/>
          <w:numId w:val="1009"/>
        </w:numPr>
        <w:pStyle w:val="Compact"/>
      </w:pPr>
      <w:r>
        <w:t xml:space="preserve">confianza institucional</w:t>
      </w:r>
    </w:p>
    <w:p>
      <w:pPr>
        <w:numPr>
          <w:ilvl w:val="0"/>
          <w:numId w:val="1007"/>
        </w:numPr>
        <w:pStyle w:val="Compact"/>
      </w:pPr>
      <w:r>
        <w:t xml:space="preserve">Dimensión orientación hacia el bien común:</w:t>
      </w:r>
    </w:p>
    <w:p>
      <w:pPr>
        <w:numPr>
          <w:ilvl w:val="1"/>
          <w:numId w:val="1010"/>
        </w:numPr>
        <w:pStyle w:val="Compact"/>
      </w:pPr>
      <w:r>
        <w:t xml:space="preserve">solidaridad</w:t>
      </w:r>
    </w:p>
    <w:p>
      <w:pPr>
        <w:numPr>
          <w:ilvl w:val="1"/>
          <w:numId w:val="1010"/>
        </w:numPr>
        <w:pStyle w:val="Compact"/>
      </w:pPr>
      <w:r>
        <w:t xml:space="preserve">participación cívica</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Indicadores (2):</w:t>
      </w:r>
    </w:p>
    <w:p>
      <w:pPr>
        <w:numPr>
          <w:ilvl w:val="0"/>
          <w:numId w:val="1011"/>
        </w:numPr>
      </w:pPr>
      <w:r>
        <w:t xml:space="preserve">Se puede confiar en la mayoría de las personas</w:t>
      </w:r>
    </w:p>
    <w:p>
      <w:pPr>
        <w:numPr>
          <w:ilvl w:val="0"/>
          <w:numId w:val="1011"/>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68,3% (2016) a un 71,4% (2020). Las personas confiadas son absolutamente minoritarias, manteniéndose en menos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Indicadores (3):</w:t>
      </w:r>
    </w:p>
    <w:p>
      <w:pPr>
        <w:numPr>
          <w:ilvl w:val="0"/>
          <w:numId w:val="1012"/>
        </w:numPr>
      </w:pPr>
      <w:r>
        <w:t xml:space="preserve">Grado de confianza con personas homosexuales</w:t>
      </w:r>
    </w:p>
    <w:p>
      <w:pPr>
        <w:numPr>
          <w:ilvl w:val="0"/>
          <w:numId w:val="1012"/>
        </w:numPr>
      </w:pPr>
      <w:r>
        <w:t xml:space="preserve">Grado de confianza con personas mapuche</w:t>
      </w:r>
    </w:p>
    <w:p>
      <w:pPr>
        <w:numPr>
          <w:ilvl w:val="0"/>
          <w:numId w:val="1012"/>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35%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38%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extoindependiente"/>
      </w:pPr>
      <w:r>
        <w:t xml:space="preserve">** Nota: podría valer la pena pasar a 3 categorías en vez de 5.</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Indicador (1): Cantidad de personas que se conocen con diferentes ocupaciones</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57%). Las categorías con menos contactos con diferentes ocupaciones (1 a 2 y 3 a 5) no pasan del 26% para los años 2016 y 2020, mientras la categoría con menos frecuencia corresponde a las personas que no declaran contactos en diferentes ocupaciones en ninguna de las tres olas (menos del 7%).</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bastante estable de cohesión social para el período completo, pero con importantes cambios de respuesta entre las mismas personas de una ola a otra.</w:t>
      </w:r>
    </w:p>
    <w:p>
      <w:pPr>
        <w:pStyle w:val="Textoindependiente"/>
      </w:pPr>
      <w:r>
        <w:t xml:space="preserve">**Nota: podría valer la pena pasar a 3 categorías en vez de 5.</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Indicadores (2):</w:t>
      </w:r>
    </w:p>
    <w:p>
      <w:pPr>
        <w:numPr>
          <w:ilvl w:val="0"/>
          <w:numId w:val="1013"/>
        </w:numPr>
      </w:pPr>
      <w:r>
        <w:t xml:space="preserve">Me siento orgulloso de ser chileno</w:t>
      </w:r>
    </w:p>
    <w:p>
      <w:pPr>
        <w:numPr>
          <w:ilvl w:val="0"/>
          <w:numId w:val="1013"/>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7%).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51,9% a un 35%, una de las variaciones más notables en los gráficos analizados en este capítulo.</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El estallido del 2019 no alteró sustancialmente la percepción para el conjunto de la muestra, lo que era esperable para la identificación con el país.</w:t>
      </w:r>
    </w:p>
    <w:p>
      <w:pPr>
        <w:pStyle w:val="Textoindependiente"/>
      </w:pPr>
      <w:r>
        <w:t xml:space="preserve">**Nota: mejor dejar 5 categorías que 3, según diagnóstico de Kevin.</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Indicadores (2):</w:t>
      </w:r>
    </w:p>
    <w:p>
      <w:pPr>
        <w:numPr>
          <w:ilvl w:val="0"/>
          <w:numId w:val="1014"/>
        </w:numPr>
      </w:pPr>
      <w:r>
        <w:t xml:space="preserve">En Chile las personas son recompensadas por sus esfuerzos</w:t>
      </w:r>
    </w:p>
    <w:p>
      <w:pPr>
        <w:numPr>
          <w:ilvl w:val="0"/>
          <w:numId w:val="1014"/>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que se observa en la Figura</w:t>
      </w:r>
      <w:r>
        <w:t xml:space="preserve"> </w:t>
      </w:r>
      <w:r>
        <w:t xml:space="preserve">2.5</w:t>
      </w:r>
      <w:r>
        <w:t xml:space="preserve">, las categorías extremas (</w:t>
      </w:r>
      <w:r>
        <w:t xml:space="preserve">“</w:t>
      </w:r>
      <w:r>
        <w:t xml:space="preserve">totalmente de acuerdo</w:t>
      </w:r>
      <w:r>
        <w:t xml:space="preserve">”</w:t>
      </w:r>
      <w:r>
        <w:t xml:space="preserve"> </w:t>
      </w:r>
      <w:r>
        <w:t xml:space="preserve">y</w:t>
      </w:r>
      <w:r>
        <w:t xml:space="preserve"> </w:t>
      </w:r>
      <w:r>
        <w:t xml:space="preserve">“</w:t>
      </w:r>
      <w:r>
        <w:t xml:space="preserve">totalmente en desacuerdo</w:t>
      </w:r>
      <w:r>
        <w:t xml:space="preserve">”</w:t>
      </w:r>
      <w:r>
        <w:t xml:space="preserve">) recogen muy pocas preferencias, con muy pocas variaciones entre olas, sumando menos del 10% en total. Las demás categorías son bastante parecidas en tamaño, con variaciones sólo de algunos puntos. La más abultada es</w:t>
      </w:r>
      <w:r>
        <w:t xml:space="preserve"> </w:t>
      </w:r>
      <w:r>
        <w:t xml:space="preserve">“</w:t>
      </w:r>
      <w:r>
        <w:t xml:space="preserve">en desacuerdo</w:t>
      </w:r>
      <w:r>
        <w:t xml:space="preserve">”</w:t>
      </w:r>
      <w:r>
        <w:t xml:space="preserve">, con una frecuencia promedio del 40%, seguida por “ni de acuerdo ni en desacuerdo (alrededor del 28%) y finalmente viene la opción “de acuerdo con alrededor del 22% de las preferencias. Esto indica que en general los respondentes consideran más bien que no se recompensa la inteligencia ni el esfuerzo en Chile.</w:t>
      </w:r>
    </w:p>
    <w:p>
      <w:pPr>
        <w:pStyle w:val="Textoindependiente"/>
      </w:pPr>
      <w:r>
        <w:t xml:space="preserve">En cuanto a las variaciones entre olas y entre respondentes, la mitad de los respondentes mantiene su opción entre olas y los cambios más importantes son en general hacia una categoría contigua. No son entonces categorías particularmente estables en el tiempo. Se observan variaciones hacia categorías no contiguas, de manera más importante que en otras dimensiones analizadas en este capítulo.</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trata de una respuesta más volátil entre olas.</w:t>
      </w:r>
    </w:p>
    <w:p>
      <w:pPr>
        <w:pStyle w:val="Textoindependiente"/>
      </w:pPr>
      <w:r>
        <w:t xml:space="preserve">**Nota: podría valer la pena pasar a 3 categorías en vez de 5.</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Indicadores (3):</w:t>
      </w:r>
    </w:p>
    <w:p>
      <w:pPr>
        <w:numPr>
          <w:ilvl w:val="0"/>
          <w:numId w:val="1015"/>
        </w:numPr>
      </w:pPr>
      <w:r>
        <w:t xml:space="preserve">Confianza en el gobierno</w:t>
      </w:r>
    </w:p>
    <w:p>
      <w:pPr>
        <w:numPr>
          <w:ilvl w:val="0"/>
          <w:numId w:val="1015"/>
        </w:numPr>
      </w:pPr>
      <w:r>
        <w:t xml:space="preserve">Confianza en el presidente/a de la república</w:t>
      </w:r>
    </w:p>
    <w:p>
      <w:pPr>
        <w:numPr>
          <w:ilvl w:val="0"/>
          <w:numId w:val="1015"/>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w:t>
      </w:r>
      <w:r>
        <w:t xml:space="preserve">”</w:t>
      </w:r>
      <w:r>
        <w:t xml:space="preserve"> </w:t>
      </w:r>
      <w:r>
        <w:t xml:space="preserve">y</w:t>
      </w:r>
      <w:r>
        <w:t xml:space="preserve"> </w:t>
      </w:r>
      <w:r>
        <w:t xml:space="preserve">“</w:t>
      </w:r>
      <w:r>
        <w:t xml:space="preserve">poco</w:t>
      </w:r>
      <w:r>
        <w:t xml:space="preserve">”</w:t>
      </w:r>
      <w:r>
        <w:t xml:space="preserve"> </w:t>
      </w:r>
      <w:r>
        <w:t xml:space="preserve">en las instituciones del país, en este caso el gobierno, el presidente o los partidos políticos. Como era de esperarse, pero corresponde a una de las mayore brechas en la cohesión,</w:t>
      </w:r>
      <w:r>
        <w:t xml:space="preserve"> </w:t>
      </w:r>
      <w:r>
        <w:t xml:space="preserve">“</w:t>
      </w:r>
      <w:r>
        <w:t xml:space="preserve">nada</w:t>
      </w:r>
      <w:r>
        <w:t xml:space="preserve">”</w:t>
      </w:r>
      <w:r>
        <w:t xml:space="preserve"> </w:t>
      </w:r>
      <w:r>
        <w:t xml:space="preserve">de confianza es la categoría que recoge más preferencias, con un aumento notorio en el 2019 (pasando de 30,4% a un 62,2%), antes de bajar nuevamente en 2020 (42,5%, muy cercano a la frecuencia de 2016). El salto entre 2018 y 2019 es uno de los mayores observados en este capítulo, correspondiente al aumento del malestar de los ciudadanos frente a la ausencia de respuestas frente a sus demandas. Respecto de la baja al año siguiente, podría hipotetizarse que el estallido de 2019 alivió la sensación de desconfianza total o fuerte en estas tres instituciones. La opción</w:t>
      </w:r>
      <w:r>
        <w:t xml:space="preserve"> </w:t>
      </w:r>
      <w:r>
        <w:t xml:space="preserve">“</w:t>
      </w:r>
      <w:r>
        <w:t xml:space="preserve">bastante</w:t>
      </w:r>
      <w:r>
        <w:t xml:space="preserve">”</w:t>
      </w:r>
      <w:r>
        <w:t xml:space="preserve"> </w:t>
      </w:r>
      <w:r>
        <w:t xml:space="preserve">varía mucho (entre el 6,6% correspondiente al 2019 y el 23,5% para el año anterior, 2018, mientras se mantiene en torno al 15% para las otras olas). Finalmente, la categoría</w:t>
      </w:r>
      <w:r>
        <w:t xml:space="preserve"> </w:t>
      </w:r>
      <w:r>
        <w:t xml:space="preserve">“</w:t>
      </w:r>
      <w:r>
        <w:t xml:space="preserve">mucha</w:t>
      </w:r>
      <w:r>
        <w:t xml:space="preserve">”</w:t>
      </w:r>
      <w:r>
        <w:t xml:space="preserve"> </w:t>
      </w:r>
      <w:r>
        <w:t xml:space="preserve">confianza se mantiene muy baja en todas las olas.</w:t>
      </w:r>
    </w:p>
    <w:p>
      <w:pPr>
        <w:pStyle w:val="Textoindependiente"/>
      </w:pPr>
      <w:r>
        <w:t xml:space="preserve">En cuanto a las variaciones entre olas y entre respondentes, las personas en general mantienen su preferencia de un año a otro, salvo entre el 2019 y el 2020, cuando observamos un flujo importante desde</w:t>
      </w:r>
      <w:r>
        <w:t xml:space="preserve"> </w:t>
      </w:r>
      <w:r>
        <w:t xml:space="preserve">“</w:t>
      </w:r>
      <w:r>
        <w:t xml:space="preserve">nada de confianza</w:t>
      </w:r>
      <w:r>
        <w:t xml:space="preserve">”</w:t>
      </w:r>
      <w:r>
        <w:t xml:space="preserve"> </w:t>
      </w:r>
      <w:r>
        <w:t xml:space="preserve">hacia la categoría contigua de</w:t>
      </w:r>
      <w:r>
        <w:t xml:space="preserve"> </w:t>
      </w:r>
      <w:r>
        <w:t xml:space="preserve">“</w:t>
      </w:r>
      <w:r>
        <w:t xml:space="preserve">poca confianza</w:t>
      </w:r>
      <w:r>
        <w:t xml:space="preserve">”</w:t>
      </w:r>
      <w:r>
        <w:t xml:space="preserve">, lo que explica la importante variación entre el 2019 y el 2020, que podría deberse al estallido. Como era de esperarse, los cambios son nuevamente hacia categorías contiguas, con muy poco traspaso entre extremos.</w:t>
      </w:r>
    </w:p>
    <w:p>
      <w:pPr>
        <w:pStyle w:val="Textoindependiente"/>
      </w:pPr>
      <w:r>
        <w:t xml:space="preserve">**Nota: podría valer la pena pasar a 3 categorías en vez de 5.</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Indicadores (4):</w:t>
      </w:r>
    </w:p>
    <w:p>
      <w:pPr>
        <w:numPr>
          <w:ilvl w:val="0"/>
          <w:numId w:val="1016"/>
        </w:numPr>
      </w:pPr>
      <w:r>
        <w:t xml:space="preserve">Ha donado dinero a una obra social o de caridad</w:t>
      </w:r>
    </w:p>
    <w:p>
      <w:pPr>
        <w:numPr>
          <w:ilvl w:val="0"/>
          <w:numId w:val="1016"/>
        </w:numPr>
      </w:pPr>
      <w:r>
        <w:t xml:space="preserve">Ha prestado una suma de dinero de $10.000.- o más</w:t>
      </w:r>
    </w:p>
    <w:p>
      <w:pPr>
        <w:numPr>
          <w:ilvl w:val="0"/>
          <w:numId w:val="1016"/>
        </w:numPr>
      </w:pPr>
      <w:r>
        <w:t xml:space="preserve">Ha conversado con una persona en problemas o deprimida</w:t>
      </w:r>
    </w:p>
    <w:p>
      <w:pPr>
        <w:numPr>
          <w:ilvl w:val="0"/>
          <w:numId w:val="1016"/>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Casi no presentan variaciones en su tamaño general a lo largo del período. El estallido no significa un aumento para la ola 2020.</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Indicadores (4):</w:t>
      </w:r>
    </w:p>
    <w:p>
      <w:pPr>
        <w:numPr>
          <w:ilvl w:val="0"/>
          <w:numId w:val="1017"/>
        </w:numPr>
      </w:pPr>
      <w:r>
        <w:t xml:space="preserve">Firmado una carta o petición apoyando una causa</w:t>
      </w:r>
    </w:p>
    <w:p>
      <w:pPr>
        <w:numPr>
          <w:ilvl w:val="0"/>
          <w:numId w:val="1017"/>
        </w:numPr>
      </w:pPr>
      <w:r>
        <w:t xml:space="preserve">Asistido a una marcha o manifestación pacífica</w:t>
      </w:r>
    </w:p>
    <w:p>
      <w:pPr>
        <w:numPr>
          <w:ilvl w:val="0"/>
          <w:numId w:val="1017"/>
        </w:numPr>
      </w:pPr>
      <w:r>
        <w:t xml:space="preserve">Participado en una huelga</w:t>
      </w:r>
    </w:p>
    <w:p>
      <w:pPr>
        <w:numPr>
          <w:ilvl w:val="0"/>
          <w:numId w:val="1017"/>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la participación cívica es muy baja y no varía particularmente entre olas.</w:t>
      </w:r>
    </w:p>
    <w:p>
      <w:pPr>
        <w:pStyle w:val="Textoindependiente"/>
      </w:pPr>
      <w:r>
        <w:t xml:space="preserve">**Nota: mejor dejar 5 categorías que 3, según diagnóstico de Kevin.</w:t>
      </w:r>
    </w:p>
    <w:bookmarkEnd w:id="84"/>
    <w:bookmarkEnd w:id="85"/>
    <w:bookmarkStart w:id="87" w:name="cohesion-territorial"/>
    <w:p>
      <w:pPr>
        <w:pStyle w:val="Ttulo2"/>
      </w:pPr>
      <w:r>
        <w:rPr>
          <w:rStyle w:val="SectionNumber"/>
        </w:rPr>
        <w:t xml:space="preserve">2.4</w:t>
      </w:r>
      <w:r>
        <w:tab/>
      </w:r>
      <w:r>
        <w:t xml:space="preserve">Cohesion territorial</w:t>
      </w:r>
    </w:p>
    <w:p>
      <w:pPr>
        <w:pStyle w:val="FirstParagraph"/>
      </w:pPr>
      <w:r>
        <w:t xml:space="preserve">Indicadores (4):</w:t>
      </w:r>
    </w:p>
    <w:p>
      <w:pPr>
        <w:numPr>
          <w:ilvl w:val="0"/>
          <w:numId w:val="1018"/>
        </w:numPr>
      </w:pPr>
      <w:r>
        <w:t xml:space="preserve">Este barrio es ideal para mi</w:t>
      </w:r>
    </w:p>
    <w:p>
      <w:pPr>
        <w:numPr>
          <w:ilvl w:val="0"/>
          <w:numId w:val="1018"/>
        </w:numPr>
      </w:pPr>
      <w:r>
        <w:t xml:space="preserve">Me siento integrado/a en este barrio</w:t>
      </w:r>
    </w:p>
    <w:p>
      <w:pPr>
        <w:numPr>
          <w:ilvl w:val="0"/>
          <w:numId w:val="1018"/>
        </w:numPr>
      </w:pPr>
      <w:r>
        <w:t xml:space="preserve">Me identifico con la gente de este barrio</w:t>
      </w:r>
    </w:p>
    <w:p>
      <w:pPr>
        <w:numPr>
          <w:ilvl w:val="0"/>
          <w:numId w:val="1018"/>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11,5%.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 Nota: podría valer la pena pasar a 3 categorías en vez de 5.</w:t>
      </w:r>
    </w:p>
    <w:p>
      <w:pPr>
        <w:pStyle w:val="Textoindependiente"/>
      </w:pPr>
      <w:r>
        <w:t xml:space="preserve">** Falta conclusión del capítulo, a redactar luego de comentarios de CEPAL.</w:t>
      </w:r>
    </w:p>
    <w:bookmarkEnd w:id="87"/>
    <w:bookmarkEnd w:id="88"/>
    <w:bookmarkStart w:id="89" w:name="X0ff626d43a9e0f9ede0fc0478f4e11a105dce19"/>
    <w:p>
      <w:pPr>
        <w:pStyle w:val="Ttulo1"/>
      </w:pPr>
      <w:r>
        <w:rPr>
          <w:rStyle w:val="SectionNumber"/>
        </w:rPr>
        <w:t xml:space="preserve">3</w:t>
      </w:r>
      <w:r>
        <w:tab/>
      </w:r>
      <w:r>
        <w:t xml:space="preserve">Capítulo III. Habilitadores e inhibidores de la cohesión social</w:t>
      </w:r>
    </w:p>
    <w:bookmarkEnd w:id="89"/>
    <w:bookmarkStart w:id="98" w:name="bibliografía"/>
    <w:p>
      <w:pPr>
        <w:pStyle w:val="Ttulo1"/>
      </w:pPr>
      <w:r>
        <w:t xml:space="preserve">Bibliografía</w:t>
      </w:r>
    </w:p>
    <w:bookmarkStart w:id="97" w:name="refs"/>
    <w:bookmarkStart w:id="90"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90"/>
    <w:bookmarkStart w:id="91"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91"/>
    <w:bookmarkStart w:id="93"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92">
        <w:r>
          <w:rPr>
            <w:rStyle w:val="Hipervnculo"/>
          </w:rPr>
          <w:t xml:space="preserve">https://doi.org/10.1371/journal.pone.0008694</w:t>
        </w:r>
      </w:hyperlink>
    </w:p>
    <w:bookmarkEnd w:id="93"/>
    <w:bookmarkStart w:id="95"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w:t>
      </w:r>
      <w:r>
        <w:t xml:space="preserve"> </w:t>
      </w:r>
      <w:r>
        <w:t xml:space="preserve">A Literature Review</w:t>
      </w:r>
      <w:r>
        <w:t xml:space="preserve">.</w:t>
      </w:r>
      <w:r>
        <w:t xml:space="preserve"> </w:t>
      </w:r>
      <w:r>
        <w:rPr>
          <w:iCs/>
          <w:i/>
        </w:rPr>
        <w:t xml:space="preserve">Social Indicators Research</w:t>
      </w:r>
      <w:r>
        <w:t xml:space="preserve">, 1-25.</w:t>
      </w:r>
      <w:r>
        <w:t xml:space="preserve"> </w:t>
      </w:r>
      <w:hyperlink r:id="rId94">
        <w:r>
          <w:rPr>
            <w:rStyle w:val="Hipervnculo"/>
          </w:rPr>
          <w:t xml:space="preserve">https://doi.org/10.1007/s11205-016-1314-5</w:t>
        </w:r>
      </w:hyperlink>
    </w:p>
    <w:bookmarkEnd w:id="95"/>
    <w:bookmarkStart w:id="96"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96"/>
    <w:bookmarkEnd w:id="97"/>
    <w:bookmarkEnd w:id="98"/>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7" Target="media/rId57.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5" Target="media/rId35.png" /><Relationship Type="http://schemas.openxmlformats.org/officeDocument/2006/relationships/image" Id="rId44" Target="media/rId44.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94" Target="https://doi.org/10.1007/s11205-016-1314-5" TargetMode="External" /><Relationship Type="http://schemas.openxmlformats.org/officeDocument/2006/relationships/hyperlink" Id="rId9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94" Target="https://doi.org/10.1007/s11205-016-1314-5" TargetMode="External" /><Relationship Type="http://schemas.openxmlformats.org/officeDocument/2006/relationships/hyperlink" Id="rId9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2021-09-27T18:58:37Z</dcterms:created>
  <dcterms:modified xsi:type="dcterms:W3CDTF">2021-09-27T18:58:37Z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2021-09-27</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